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Look w:val="0000" w:firstRow="0" w:lastRow="0" w:firstColumn="0" w:lastColumn="0" w:noHBand="0" w:noVBand="0"/>
      </w:tblPr>
      <w:tblGrid>
        <w:gridCol w:w="4680"/>
        <w:gridCol w:w="5760"/>
      </w:tblGrid>
      <w:tr w:rsidR="00F66674" w:rsidRPr="00956CB0" w:rsidTr="00FD3270">
        <w:trPr>
          <w:trHeight w:val="1535"/>
        </w:trPr>
        <w:tc>
          <w:tcPr>
            <w:tcW w:w="4680" w:type="dxa"/>
          </w:tcPr>
          <w:p w:rsidR="00F66674" w:rsidRPr="009E755F" w:rsidRDefault="00F66674" w:rsidP="00F66674">
            <w:pPr>
              <w:spacing w:after="0"/>
              <w:rPr>
                <w:b/>
                <w:sz w:val="26"/>
                <w:szCs w:val="26"/>
              </w:rPr>
            </w:pPr>
            <w:r w:rsidRPr="009E755F">
              <w:rPr>
                <w:b/>
                <w:bCs/>
                <w:color w:val="000000"/>
                <w:sz w:val="26"/>
                <w:szCs w:val="26"/>
                <w:bdr w:val="none" w:sz="0" w:space="0" w:color="auto" w:frame="1"/>
              </w:rPr>
              <w:t> </w:t>
            </w:r>
            <w:r w:rsidRPr="009E755F">
              <w:rPr>
                <w:b/>
                <w:sz w:val="26"/>
                <w:szCs w:val="26"/>
              </w:rPr>
              <w:t>PHÒNG GDĐT THỊ XÃ BUÔN HỒ</w:t>
            </w:r>
          </w:p>
          <w:p w:rsidR="00F66674" w:rsidRPr="009E755F" w:rsidRDefault="00F66674" w:rsidP="00F66674">
            <w:pPr>
              <w:spacing w:after="0"/>
              <w:rPr>
                <w:b/>
                <w:sz w:val="26"/>
                <w:szCs w:val="26"/>
              </w:rPr>
            </w:pPr>
            <w:r w:rsidRPr="009E755F">
              <w:rPr>
                <w:b/>
                <w:sz w:val="26"/>
                <w:szCs w:val="26"/>
              </w:rPr>
              <w:t>TRƯỜNG THCS NGÔ QUYỀN</w:t>
            </w:r>
          </w:p>
          <w:p w:rsidR="00F66674" w:rsidRPr="009E755F" w:rsidRDefault="00812A17" w:rsidP="00FD3270">
            <w:pPr>
              <w:rPr>
                <w:sz w:val="26"/>
                <w:szCs w:val="26"/>
                <w:lang w:val="pt-BR"/>
              </w:rPr>
            </w:pPr>
            <w:r w:rsidRPr="009E755F">
              <w:rPr>
                <w:sz w:val="26"/>
                <w:szCs w:val="26"/>
                <w:lang w:val="pt-BR"/>
              </w:rPr>
              <w:t>Số:</w:t>
            </w:r>
            <w:r w:rsidR="00844E1D">
              <w:rPr>
                <w:sz w:val="26"/>
                <w:szCs w:val="26"/>
                <w:lang w:val="pt-BR"/>
              </w:rPr>
              <w:t xml:space="preserve">02 </w:t>
            </w:r>
            <w:bookmarkStart w:id="0" w:name="_GoBack"/>
            <w:bookmarkEnd w:id="0"/>
            <w:r w:rsidRPr="009E755F">
              <w:rPr>
                <w:sz w:val="26"/>
                <w:szCs w:val="26"/>
                <w:lang w:val="pt-BR"/>
              </w:rPr>
              <w:t>/KH-NQ</w:t>
            </w:r>
          </w:p>
          <w:p w:rsidR="00812A17" w:rsidRPr="009E755F" w:rsidRDefault="00812A17" w:rsidP="00FD3270">
            <w:pPr>
              <w:rPr>
                <w:b/>
                <w:sz w:val="26"/>
                <w:szCs w:val="26"/>
                <w:lang w:val="pt-BR"/>
              </w:rPr>
            </w:pPr>
          </w:p>
        </w:tc>
        <w:tc>
          <w:tcPr>
            <w:tcW w:w="5760" w:type="dxa"/>
          </w:tcPr>
          <w:p w:rsidR="00F66674" w:rsidRPr="009E755F" w:rsidRDefault="00F66674" w:rsidP="00FD3270">
            <w:pPr>
              <w:pStyle w:val="Heading2"/>
              <w:keepNext w:val="0"/>
              <w:spacing w:line="320" w:lineRule="exact"/>
              <w:ind w:left="-57" w:right="-57"/>
              <w:jc w:val="center"/>
              <w:rPr>
                <w:rFonts w:ascii="Times New Roman" w:hAnsi="Times New Roman" w:cs="Times New Roman"/>
                <w:b/>
                <w:spacing w:val="-6"/>
                <w:sz w:val="26"/>
                <w:szCs w:val="26"/>
                <w:lang w:val="pt-BR"/>
              </w:rPr>
            </w:pPr>
            <w:r w:rsidRPr="009E755F">
              <w:rPr>
                <w:rFonts w:ascii="Times New Roman" w:hAnsi="Times New Roman" w:cs="Times New Roman"/>
                <w:b/>
                <w:noProof/>
                <w:sz w:val="26"/>
                <w:szCs w:val="26"/>
                <w:lang w:val="vi-VN" w:eastAsia="vi-VN"/>
              </w:rPr>
              <mc:AlternateContent>
                <mc:Choice Requires="wps">
                  <w:drawing>
                    <wp:anchor distT="0" distB="0" distL="114300" distR="114300" simplePos="0" relativeHeight="251660288" behindDoc="0" locked="1" layoutInCell="1" allowOverlap="1" wp14:anchorId="2C1CD938" wp14:editId="69C5F0DD">
                      <wp:simplePos x="0" y="0"/>
                      <wp:positionH relativeFrom="column">
                        <wp:posOffset>-2240280</wp:posOffset>
                      </wp:positionH>
                      <wp:positionV relativeFrom="paragraph">
                        <wp:posOffset>390525</wp:posOffset>
                      </wp:positionV>
                      <wp:extent cx="8890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0.75pt" to="-106.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t1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sUx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">
                      <w10:anchorlock/>
                    </v:line>
                  </w:pict>
                </mc:Fallback>
              </mc:AlternateContent>
            </w:r>
            <w:r w:rsidRPr="009E755F">
              <w:rPr>
                <w:rFonts w:ascii="Times New Roman" w:hAnsi="Times New Roman" w:cs="Times New Roman"/>
                <w:b/>
                <w:spacing w:val="-6"/>
                <w:sz w:val="26"/>
                <w:szCs w:val="26"/>
                <w:lang w:val="pt-BR"/>
              </w:rPr>
              <w:t>CỘNG HOÀ XÃ HỘI CHỦ NGHĨA VIỆT NAM</w:t>
            </w:r>
          </w:p>
          <w:p w:rsidR="00F66674" w:rsidRPr="009E755F" w:rsidRDefault="00F66674" w:rsidP="00FD3270">
            <w:pPr>
              <w:widowControl w:val="0"/>
              <w:spacing w:line="320" w:lineRule="exact"/>
              <w:rPr>
                <w:b/>
                <w:bCs/>
                <w:szCs w:val="26"/>
                <w:lang w:val="pt-BR"/>
              </w:rPr>
            </w:pPr>
            <w:r w:rsidRPr="009E755F">
              <w:rPr>
                <w:b/>
                <w:noProof/>
                <w:szCs w:val="26"/>
                <w:lang w:val="vi-VN" w:eastAsia="vi-VN"/>
              </w:rPr>
              <mc:AlternateContent>
                <mc:Choice Requires="wps">
                  <w:drawing>
                    <wp:anchor distT="0" distB="0" distL="114300" distR="114300" simplePos="0" relativeHeight="251659264" behindDoc="0" locked="1" layoutInCell="1" allowOverlap="1" wp14:anchorId="36609212" wp14:editId="31D0885E">
                      <wp:simplePos x="0" y="0"/>
                      <wp:positionH relativeFrom="column">
                        <wp:posOffset>683260</wp:posOffset>
                      </wp:positionH>
                      <wp:positionV relativeFrom="paragraph">
                        <wp:posOffset>224790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7.7pt" to="22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">
                      <w10:anchorlock/>
                    </v:line>
                  </w:pict>
                </mc:Fallback>
              </mc:AlternateContent>
            </w:r>
            <w:r w:rsidRPr="009E755F">
              <w:rPr>
                <w:b/>
                <w:bCs/>
                <w:noProof/>
                <w:szCs w:val="26"/>
                <w:lang w:val="pt-BR"/>
              </w:rPr>
              <w:t>Độc</w:t>
            </w:r>
            <w:r w:rsidRPr="009E755F">
              <w:rPr>
                <w:b/>
                <w:bCs/>
                <w:szCs w:val="26"/>
                <w:lang w:val="pt-BR"/>
              </w:rPr>
              <w:t xml:space="preserve"> lập - Tự do - Hạnh phúc</w:t>
            </w:r>
          </w:p>
          <w:p w:rsidR="00F66674" w:rsidRPr="009E755F" w:rsidRDefault="00F66674" w:rsidP="00417FD7">
            <w:pPr>
              <w:widowControl w:val="0"/>
              <w:spacing w:line="320" w:lineRule="exact"/>
              <w:jc w:val="right"/>
              <w:rPr>
                <w:sz w:val="26"/>
                <w:szCs w:val="26"/>
                <w:lang w:val="pt-BR"/>
              </w:rPr>
            </w:pPr>
            <w:r w:rsidRPr="009E755F">
              <w:rPr>
                <w:i/>
                <w:iCs/>
                <w:sz w:val="26"/>
                <w:szCs w:val="26"/>
                <w:lang w:val="pt-BR"/>
              </w:rPr>
              <w:t xml:space="preserve">Cư Bao, ngày </w:t>
            </w:r>
            <w:r w:rsidR="00417FD7">
              <w:rPr>
                <w:i/>
                <w:iCs/>
                <w:sz w:val="26"/>
                <w:szCs w:val="26"/>
                <w:lang w:val="pt-BR"/>
              </w:rPr>
              <w:t>2</w:t>
            </w:r>
            <w:r w:rsidR="000D5404">
              <w:rPr>
                <w:i/>
                <w:iCs/>
                <w:sz w:val="26"/>
                <w:szCs w:val="26"/>
                <w:lang w:val="pt-BR"/>
              </w:rPr>
              <w:t>4</w:t>
            </w:r>
            <w:r w:rsidR="004D1114">
              <w:rPr>
                <w:i/>
                <w:iCs/>
                <w:sz w:val="26"/>
                <w:szCs w:val="26"/>
                <w:lang w:val="pt-BR"/>
              </w:rPr>
              <w:t xml:space="preserve"> </w:t>
            </w:r>
            <w:r w:rsidRPr="009E755F">
              <w:rPr>
                <w:i/>
                <w:iCs/>
                <w:sz w:val="26"/>
                <w:szCs w:val="26"/>
                <w:lang w:val="pt-BR"/>
              </w:rPr>
              <w:t xml:space="preserve"> tháng </w:t>
            </w:r>
            <w:r w:rsidR="000D5404">
              <w:rPr>
                <w:i/>
                <w:iCs/>
                <w:sz w:val="26"/>
                <w:szCs w:val="26"/>
                <w:lang w:val="pt-BR"/>
              </w:rPr>
              <w:t>01</w:t>
            </w:r>
            <w:r w:rsidR="004D1114">
              <w:rPr>
                <w:i/>
                <w:iCs/>
                <w:sz w:val="26"/>
                <w:szCs w:val="26"/>
                <w:lang w:val="pt-BR"/>
              </w:rPr>
              <w:t xml:space="preserve">  năm 2022</w:t>
            </w:r>
          </w:p>
        </w:tc>
      </w:tr>
    </w:tbl>
    <w:p w:rsidR="00FB04E8" w:rsidRPr="00745FB5" w:rsidRDefault="00FB04E8" w:rsidP="00745FB5">
      <w:pPr>
        <w:spacing w:after="0"/>
        <w:rPr>
          <w:b/>
          <w:szCs w:val="28"/>
        </w:rPr>
      </w:pPr>
      <w:r w:rsidRPr="00745FB5">
        <w:rPr>
          <w:b/>
          <w:szCs w:val="28"/>
        </w:rPr>
        <w:t>KẾ HOẠCH</w:t>
      </w:r>
    </w:p>
    <w:p w:rsidR="00FB04E8" w:rsidRDefault="00745FB5" w:rsidP="00745FB5">
      <w:pPr>
        <w:spacing w:after="0"/>
        <w:rPr>
          <w:b/>
          <w:szCs w:val="28"/>
        </w:rPr>
      </w:pPr>
      <w:r>
        <w:rPr>
          <w:b/>
          <w:szCs w:val="28"/>
        </w:rPr>
        <w:t>Triển khai thực hiện công tác p</w:t>
      </w:r>
      <w:r w:rsidR="00FB04E8" w:rsidRPr="00745FB5">
        <w:rPr>
          <w:b/>
          <w:szCs w:val="28"/>
        </w:rPr>
        <w:t>hổ biến</w:t>
      </w:r>
      <w:r>
        <w:rPr>
          <w:b/>
          <w:szCs w:val="28"/>
        </w:rPr>
        <w:t>,</w:t>
      </w:r>
      <w:r w:rsidR="00FB04E8" w:rsidRPr="00745FB5">
        <w:rPr>
          <w:b/>
          <w:szCs w:val="28"/>
        </w:rPr>
        <w:t xml:space="preserve"> giáo dục pháp luật năm 2</w:t>
      </w:r>
      <w:r w:rsidR="004D1114">
        <w:rPr>
          <w:b/>
          <w:szCs w:val="28"/>
        </w:rPr>
        <w:t>022</w:t>
      </w:r>
    </w:p>
    <w:p w:rsidR="00745FB5" w:rsidRPr="00745FB5" w:rsidRDefault="00745FB5" w:rsidP="00745FB5">
      <w:pPr>
        <w:spacing w:after="0"/>
        <w:rPr>
          <w:b/>
          <w:szCs w:val="28"/>
        </w:rPr>
      </w:pPr>
    </w:p>
    <w:p w:rsidR="00DE0F73" w:rsidRDefault="000D5404" w:rsidP="00B320A5">
      <w:pPr>
        <w:spacing w:before="120" w:after="120" w:line="288" w:lineRule="auto"/>
        <w:ind w:firstLine="720"/>
        <w:jc w:val="both"/>
      </w:pPr>
      <w:r>
        <w:t>Căn cứ vào kế hoạch số 02</w:t>
      </w:r>
      <w:r w:rsidR="00DE0F73">
        <w:t>/KH-</w:t>
      </w:r>
      <w:r w:rsidR="00417FD7">
        <w:t>S</w:t>
      </w:r>
      <w:r w:rsidR="00DE0F73">
        <w:t xml:space="preserve">GDĐT, ngày </w:t>
      </w:r>
      <w:r w:rsidR="00417FD7">
        <w:t>13/01</w:t>
      </w:r>
      <w:r w:rsidR="00DE0F73">
        <w:t>/20</w:t>
      </w:r>
      <w:r w:rsidR="00E85285">
        <w:t>22</w:t>
      </w:r>
      <w:r w:rsidR="00DE0F73">
        <w:t xml:space="preserve"> kế hoạch triển khai công tác phổ biến, giáo dục pháp luật ngành Giáo dục và Đào tạo </w:t>
      </w:r>
      <w:r w:rsidR="00E85285">
        <w:t>tỉnh Đắk Lắk năm 2022.</w:t>
      </w:r>
    </w:p>
    <w:p w:rsidR="00E85285" w:rsidRDefault="00E85285" w:rsidP="00B320A5">
      <w:pPr>
        <w:spacing w:before="120" w:after="120" w:line="288" w:lineRule="auto"/>
        <w:ind w:firstLine="720"/>
        <w:jc w:val="both"/>
      </w:pPr>
      <w:r>
        <w:t>Căn cứ vào</w:t>
      </w:r>
      <w:r w:rsidRPr="00E85285">
        <w:t xml:space="preserve"> </w:t>
      </w:r>
      <w:r>
        <w:t xml:space="preserve">công văn </w:t>
      </w:r>
      <w:r>
        <w:t xml:space="preserve">số </w:t>
      </w:r>
      <w:r>
        <w:t>311</w:t>
      </w:r>
      <w:r>
        <w:t>/</w:t>
      </w:r>
      <w:r>
        <w:t>PGDDT</w:t>
      </w:r>
      <w:r>
        <w:t>-T</w:t>
      </w:r>
      <w:r>
        <w:t>HCS</w:t>
      </w:r>
      <w:r>
        <w:t>, ngày 1</w:t>
      </w:r>
      <w:r>
        <w:t>5</w:t>
      </w:r>
      <w:r>
        <w:t>/</w:t>
      </w:r>
      <w:r>
        <w:t>10</w:t>
      </w:r>
      <w:r>
        <w:t>/202</w:t>
      </w:r>
      <w:r>
        <w:t>1</w:t>
      </w:r>
      <w:r>
        <w:t xml:space="preserve"> </w:t>
      </w:r>
      <w:r>
        <w:t>hướng dẫn thực hiện triển khai nhiệm vụ giáo dục trung học cơ sở năm học 2021-2022.</w:t>
      </w:r>
    </w:p>
    <w:p w:rsidR="00FB04E8" w:rsidRPr="00FB04E8" w:rsidRDefault="00E85285" w:rsidP="00B320A5">
      <w:pPr>
        <w:spacing w:before="120" w:after="120" w:line="288" w:lineRule="auto"/>
        <w:ind w:firstLine="720"/>
        <w:jc w:val="both"/>
        <w:rPr>
          <w:szCs w:val="28"/>
        </w:rPr>
      </w:pPr>
      <w:r>
        <w:t xml:space="preserve"> </w:t>
      </w:r>
      <w:r w:rsidR="00FB04E8" w:rsidRPr="00FB04E8">
        <w:rPr>
          <w:szCs w:val="28"/>
        </w:rPr>
        <w:t xml:space="preserve">Căn cứ vào tình hình thực tế của nhà trường và địa phương, trường THCS </w:t>
      </w:r>
      <w:r w:rsidR="00DE0F73">
        <w:rPr>
          <w:szCs w:val="28"/>
        </w:rPr>
        <w:t>Ngô Quyền</w:t>
      </w:r>
      <w:r w:rsidR="00DE0F73" w:rsidRPr="00FB04E8">
        <w:rPr>
          <w:szCs w:val="28"/>
        </w:rPr>
        <w:t xml:space="preserve"> </w:t>
      </w:r>
      <w:r w:rsidR="00FB04E8" w:rsidRPr="00FB04E8">
        <w:rPr>
          <w:szCs w:val="28"/>
        </w:rPr>
        <w:t>xây dựng kế hoạch phổ biến giáo dục pháp luật của trường năm 20</w:t>
      </w:r>
      <w:r>
        <w:rPr>
          <w:szCs w:val="28"/>
        </w:rPr>
        <w:t>22</w:t>
      </w:r>
      <w:r w:rsidR="00FB04E8" w:rsidRPr="00FB04E8">
        <w:rPr>
          <w:szCs w:val="28"/>
        </w:rPr>
        <w:t xml:space="preserve"> như sau:</w:t>
      </w:r>
    </w:p>
    <w:p w:rsidR="00FB04E8" w:rsidRPr="00DE0F73" w:rsidRDefault="00FB04E8" w:rsidP="00B320A5">
      <w:pPr>
        <w:spacing w:before="120" w:after="120" w:line="288" w:lineRule="auto"/>
        <w:ind w:firstLine="720"/>
        <w:jc w:val="left"/>
        <w:rPr>
          <w:b/>
          <w:szCs w:val="28"/>
        </w:rPr>
      </w:pPr>
      <w:r w:rsidRPr="00DE0F73">
        <w:rPr>
          <w:b/>
          <w:szCs w:val="28"/>
        </w:rPr>
        <w:t>I. MỤC ĐÍCH YÊU CẦU:</w:t>
      </w:r>
    </w:p>
    <w:p w:rsidR="00FB04E8" w:rsidRPr="00DE0F73" w:rsidRDefault="000D6463" w:rsidP="00B320A5">
      <w:pPr>
        <w:spacing w:before="120" w:after="120" w:line="288" w:lineRule="auto"/>
        <w:ind w:firstLine="720"/>
        <w:jc w:val="both"/>
        <w:rPr>
          <w:b/>
          <w:szCs w:val="28"/>
        </w:rPr>
      </w:pPr>
      <w:r>
        <w:rPr>
          <w:b/>
          <w:szCs w:val="28"/>
        </w:rPr>
        <w:t>1. Mục đích</w:t>
      </w:r>
    </w:p>
    <w:p w:rsidR="007D18C7" w:rsidRPr="007D18C7" w:rsidRDefault="007D18C7" w:rsidP="00B320A5">
      <w:pPr>
        <w:spacing w:before="120" w:after="120" w:line="288" w:lineRule="auto"/>
        <w:ind w:firstLine="720"/>
        <w:jc w:val="both"/>
      </w:pPr>
      <w:r w:rsidRPr="007D18C7">
        <w:t>Tiếp tục thực hiện triển khai có hiệu quả Kết luận số 80-KL/TW ngày 20/6/2020 của Ban Bí thư về tiếp tục thực hiện Chỉ thị 32-CT/TW ngày 09/12/2003của Ban Bí thư về tăng cường sự lãnh đạo của Đảng trong công tác PBGDPL, nângcao ý thức chấp hành pháp luật cán bộ, nhân dân; Quyết định số 1521/QĐ-TTg ngày06/10/2020 của Thủ tướng Chính phủ ban hành Kế hoạch thực hiện Kết luận số 80-KL/TW; Luật PBGDPL, các chương trình, các Đề án về PBGDPL</w:t>
      </w:r>
      <w:r w:rsidR="00AD0524">
        <w:t>.</w:t>
      </w:r>
      <w:r w:rsidRPr="007D18C7">
        <w:t xml:space="preserve"> </w:t>
      </w:r>
    </w:p>
    <w:p w:rsidR="00D656D8" w:rsidRPr="00D656D8" w:rsidRDefault="00D656D8" w:rsidP="00B320A5">
      <w:pPr>
        <w:spacing w:before="120" w:after="120" w:line="288" w:lineRule="auto"/>
        <w:jc w:val="both"/>
      </w:pPr>
      <w:r w:rsidRPr="00D656D8">
        <w:t xml:space="preserve">Đề cao trách nhiệm tự học tập, tìm hiểu pháp luật; nghĩa vụ học tập pháp luật, giáo dục tư tưởng chính trị, đạo đức lối sống của các cán bộ, công chức, viên </w:t>
      </w:r>
      <w:r w:rsidR="00425A4C">
        <w:t xml:space="preserve">chức, </w:t>
      </w:r>
      <w:r w:rsidRPr="00D656D8">
        <w:t>người lao động và người học; tạo chuyển biến căn bản trong ý thức tuân thủ,</w:t>
      </w:r>
      <w:r w:rsidRPr="00D656D8">
        <w:br/>
        <w:t xml:space="preserve">chấp hành nghiêm túc các quy định của pháp luật trong công tác dạy và học </w:t>
      </w:r>
    </w:p>
    <w:p w:rsidR="00FB04E8" w:rsidRPr="00FB04E8" w:rsidRDefault="00FB04E8" w:rsidP="00B320A5">
      <w:pPr>
        <w:spacing w:before="120" w:after="120" w:line="288" w:lineRule="auto"/>
        <w:ind w:firstLine="720"/>
        <w:jc w:val="left"/>
        <w:rPr>
          <w:szCs w:val="28"/>
        </w:rPr>
      </w:pPr>
      <w:r w:rsidRPr="000D6463">
        <w:rPr>
          <w:b/>
          <w:szCs w:val="28"/>
        </w:rPr>
        <w:t>2. Yêu cầu</w:t>
      </w:r>
    </w:p>
    <w:p w:rsidR="00C038E4" w:rsidRDefault="00C038E4" w:rsidP="00B320A5">
      <w:pPr>
        <w:spacing w:before="120" w:after="120" w:line="288" w:lineRule="auto"/>
        <w:ind w:firstLine="720"/>
        <w:jc w:val="both"/>
        <w:rPr>
          <w:szCs w:val="28"/>
        </w:rPr>
      </w:pPr>
      <w:r>
        <w:rPr>
          <w:szCs w:val="28"/>
        </w:rPr>
        <w:t>Quán triệt đầy đủ chủ trương, chính sách của Đảng; pháp luật về công tác PBGDPL; bám sát Chương trình, Kế hoạch công tác, chỉ đạo, điều hành của Chính phủ, Thủ tướng Chính phủ, UBND tỉnh gắn nhiệm vụ chính trị, với công tác xây dựng, thi hành và bảo vệ pháp luật thuộc trách nhiệm ngành giáo dục và đào tạo.</w:t>
      </w:r>
    </w:p>
    <w:p w:rsidR="00C038E4" w:rsidRPr="00C038E4" w:rsidRDefault="00C038E4" w:rsidP="00B320A5">
      <w:pPr>
        <w:spacing w:before="120" w:after="120" w:line="288" w:lineRule="auto"/>
        <w:ind w:firstLine="720"/>
        <w:jc w:val="both"/>
      </w:pPr>
      <w:r>
        <w:rPr>
          <w:szCs w:val="28"/>
        </w:rPr>
        <w:lastRenderedPageBreak/>
        <w:t>Kết hợp giáo dục chính khóa với các hoạt động ngoại khóa,</w:t>
      </w:r>
      <w:r>
        <w:rPr>
          <w:rFonts w:ascii="Arial" w:hAnsi="Arial" w:cs="Arial"/>
          <w:color w:val="000000"/>
          <w:sz w:val="20"/>
          <w:shd w:val="clear" w:color="auto" w:fill="FFFFFF"/>
        </w:rPr>
        <w:t xml:space="preserve"> </w:t>
      </w:r>
      <w:r>
        <w:rPr>
          <w:color w:val="000000"/>
          <w:shd w:val="clear" w:color="auto" w:fill="FFFFFF"/>
        </w:rPr>
        <w:t>phối hợp công tác giáo dục pháp luật với công tác giáo dục đạo đức học sinh và việc thực hiện các cuộc vận động, các phong trà</w:t>
      </w:r>
      <w:r w:rsidR="0068782E">
        <w:rPr>
          <w:color w:val="000000"/>
          <w:shd w:val="clear" w:color="auto" w:fill="FFFFFF"/>
        </w:rPr>
        <w:t>o thi đua lớn của ngành năm 20</w:t>
      </w:r>
      <w:r w:rsidR="0033038F">
        <w:rPr>
          <w:color w:val="000000"/>
          <w:shd w:val="clear" w:color="auto" w:fill="FFFFFF"/>
        </w:rPr>
        <w:t>22</w:t>
      </w:r>
      <w:r>
        <w:rPr>
          <w:color w:val="000000"/>
          <w:shd w:val="clear" w:color="auto" w:fill="FFFFFF"/>
        </w:rPr>
        <w:t>.</w:t>
      </w:r>
    </w:p>
    <w:p w:rsidR="00C038E4" w:rsidRPr="00D96834" w:rsidRDefault="00C038E4" w:rsidP="00B320A5">
      <w:pPr>
        <w:spacing w:before="120" w:after="120" w:line="288" w:lineRule="auto"/>
        <w:ind w:firstLine="720"/>
        <w:jc w:val="both"/>
      </w:pPr>
      <w:r>
        <w:rPr>
          <w:szCs w:val="28"/>
        </w:rPr>
        <w:t xml:space="preserve">Việc PBGDPL được triển khai </w:t>
      </w:r>
      <w:r w:rsidRPr="00E81393">
        <w:rPr>
          <w:szCs w:val="28"/>
        </w:rPr>
        <w:t xml:space="preserve">đến toàn thể cán bộ quản lý, công chức, viên chức, nhà giáo và </w:t>
      </w:r>
      <w:r>
        <w:rPr>
          <w:szCs w:val="28"/>
        </w:rPr>
        <w:t xml:space="preserve">người học; thực hiện đồng bộ, có trọng tâm, trọng điểm </w:t>
      </w:r>
      <w:r w:rsidRPr="00B4192C">
        <w:rPr>
          <w:szCs w:val="28"/>
        </w:rPr>
        <w:t>với nội dung</w:t>
      </w:r>
      <w:r w:rsidRPr="00E81393">
        <w:rPr>
          <w:szCs w:val="28"/>
        </w:rPr>
        <w:t>, hình thức phù hợp với từng đối tượng, bả</w:t>
      </w:r>
      <w:r>
        <w:rPr>
          <w:szCs w:val="28"/>
        </w:rPr>
        <w:t>o đảm tính thiết thực, hiệu quả.</w:t>
      </w:r>
    </w:p>
    <w:p w:rsidR="00FB04E8" w:rsidRPr="008D399C" w:rsidRDefault="00FB04E8" w:rsidP="00B320A5">
      <w:pPr>
        <w:spacing w:before="120" w:after="120" w:line="288" w:lineRule="auto"/>
        <w:ind w:firstLine="720"/>
        <w:jc w:val="left"/>
        <w:rPr>
          <w:b/>
          <w:szCs w:val="28"/>
        </w:rPr>
      </w:pPr>
      <w:r w:rsidRPr="008D399C">
        <w:rPr>
          <w:b/>
          <w:szCs w:val="28"/>
        </w:rPr>
        <w:t>II. NHIỆM VỤ</w:t>
      </w:r>
      <w:r w:rsidR="0033038F">
        <w:rPr>
          <w:b/>
          <w:szCs w:val="28"/>
        </w:rPr>
        <w:t>TRIỂN KHAI</w:t>
      </w:r>
    </w:p>
    <w:p w:rsidR="0033038F" w:rsidRDefault="0033038F" w:rsidP="00B320A5">
      <w:pPr>
        <w:spacing w:before="120" w:after="120" w:line="288" w:lineRule="auto"/>
        <w:ind w:firstLine="720"/>
        <w:jc w:val="left"/>
      </w:pPr>
      <w:r w:rsidRPr="0033038F">
        <w:t>1. Nâng cao nhận thức, phát huy vai trò, trách nhiệm của hệ thống chính trị</w:t>
      </w:r>
      <w:r>
        <w:t xml:space="preserve"> </w:t>
      </w:r>
      <w:r w:rsidRPr="0033038F">
        <w:t>trong triển khai công tác PBGDPL</w:t>
      </w:r>
      <w:r w:rsidR="00F44118">
        <w:t>.</w:t>
      </w:r>
    </w:p>
    <w:p w:rsidR="00DA0727" w:rsidRDefault="0033038F" w:rsidP="00B320A5">
      <w:pPr>
        <w:spacing w:before="120" w:after="120" w:line="288" w:lineRule="auto"/>
        <w:ind w:firstLine="720"/>
        <w:jc w:val="both"/>
      </w:pPr>
      <w:r>
        <w:t>Nhà trường</w:t>
      </w:r>
      <w:r w:rsidRPr="0033038F">
        <w:t xml:space="preserve"> thường xuyên tổ chức, quán triệt, triển khai </w:t>
      </w:r>
      <w:r w:rsidR="00DA0727">
        <w:t>các</w:t>
      </w:r>
      <w:r w:rsidRPr="0033038F">
        <w:t xml:space="preserve"> nội dung Kết</w:t>
      </w:r>
      <w:r>
        <w:t xml:space="preserve"> </w:t>
      </w:r>
      <w:r w:rsidRPr="0033038F">
        <w:t>luận số 80-KL/TW ngày 20/6/2020 của Ban Bí thư về tiếp tục thực hiện Chỉ thị 32-CT/TW ngày 09/12/2003 của Ban Bí thư về tăng cường sự lãnh đạo của Đảng trong</w:t>
      </w:r>
      <w:r>
        <w:t xml:space="preserve"> </w:t>
      </w:r>
      <w:r w:rsidRPr="0033038F">
        <w:t>công tác PBGDPL; Luật Phổ biến, giáo dục pháp luật; Quyết định số 1521/QĐ-TTg</w:t>
      </w:r>
      <w:r>
        <w:t xml:space="preserve"> </w:t>
      </w:r>
      <w:r w:rsidRPr="0033038F">
        <w:t>ngày 06/10/2020 của Thủ tướng Chính phủ; Chỉ thị số 14-CT/TU ngày 10/8/2007của Tỉnh ủy về tăng cường sự lãnh đạo của Đảng trong công tác PBGDPL</w:t>
      </w:r>
      <w:r w:rsidR="00F44118">
        <w:t>. Các văn bản này được tuyên truyền</w:t>
      </w:r>
      <w:r w:rsidRPr="0033038F">
        <w:t xml:space="preserve"> </w:t>
      </w:r>
      <w:r w:rsidR="00F44118">
        <w:t>thông qua các cuộc họp</w:t>
      </w:r>
      <w:r w:rsidRPr="0033038F">
        <w:t xml:space="preserve"> </w:t>
      </w:r>
      <w:r w:rsidR="00F44118">
        <w:t>hội đồng, công đoàn, chuyên môn.</w:t>
      </w:r>
    </w:p>
    <w:p w:rsidR="00F44118" w:rsidRDefault="00F44118" w:rsidP="00B320A5">
      <w:pPr>
        <w:spacing w:before="120" w:after="120" w:line="288" w:lineRule="auto"/>
        <w:ind w:firstLine="720"/>
        <w:jc w:val="both"/>
      </w:pPr>
      <w:r>
        <w:t>2</w:t>
      </w:r>
      <w:r w:rsidR="0033038F" w:rsidRPr="0033038F">
        <w:t>. Tổ chức phổ biến kịp thời, thường xuyên các quy định pháp luật mới về</w:t>
      </w:r>
      <w:r w:rsidR="0033038F" w:rsidRPr="0033038F">
        <w:br/>
        <w:t>giáo dục và các quy định pháp luật; tiếp tục tổ chức tuyên truyền, phổ biến Luật Giáo dục năm 2019; Luật sửa đổi,</w:t>
      </w:r>
      <w:r>
        <w:t xml:space="preserve"> </w:t>
      </w:r>
      <w:r w:rsidR="0033038F" w:rsidRPr="0033038F">
        <w:t xml:space="preserve">bổ sung một số điều của Luật Giáo dục Đại học và các văn bản hướng dẫn thi hànhLuật; các văn bản quy phạm pháp luật (QPPL) liên quan đến chế độ chính sách chocán bộ, nhà giáo, nhân viên và học sinh trong </w:t>
      </w:r>
      <w:r>
        <w:t>nhà trường</w:t>
      </w:r>
      <w:r w:rsidR="0033038F" w:rsidRPr="0033038F">
        <w:t>, các văn bản QPPL liênquan đến an toàn giao thông, môi trường, an toàn thực phẩm, tội phạm về ma túy,</w:t>
      </w:r>
      <w:r>
        <w:t xml:space="preserve"> </w:t>
      </w:r>
      <w:r w:rsidR="0033038F" w:rsidRPr="0033038F">
        <w:t>mua bán người, quyền trẻ em các Điều ước</w:t>
      </w:r>
      <w:r>
        <w:t xml:space="preserve"> </w:t>
      </w:r>
      <w:r w:rsidR="0033038F" w:rsidRPr="0033038F">
        <w:t>quốc tế mà Việt Nam là thành viên, các</w:t>
      </w:r>
      <w:r>
        <w:t xml:space="preserve"> </w:t>
      </w:r>
      <w:r w:rsidR="0033038F" w:rsidRPr="0033038F">
        <w:t>thỏa thuận Quốc tế có liên quan đến lĩnh vực giáo dục.</w:t>
      </w:r>
    </w:p>
    <w:p w:rsidR="00DE04DB" w:rsidRPr="00FB04E8" w:rsidRDefault="00FE5E35" w:rsidP="00B320A5">
      <w:pPr>
        <w:spacing w:before="120" w:after="120" w:line="288" w:lineRule="auto"/>
        <w:ind w:firstLine="720"/>
        <w:jc w:val="both"/>
        <w:rPr>
          <w:szCs w:val="28"/>
        </w:rPr>
      </w:pPr>
      <w:r>
        <w:t>3.</w:t>
      </w:r>
      <w:r w:rsidR="00F44118" w:rsidRPr="00F44118">
        <w:t xml:space="preserve"> Tăng cường công tác, </w:t>
      </w:r>
      <w:r>
        <w:t xml:space="preserve">tổ chức thực hiện các hoạt động </w:t>
      </w:r>
      <w:r w:rsidR="00F44118" w:rsidRPr="00F44118">
        <w:t>PBGDPL trong nhà trường; chú trọng đổi mới nội du</w:t>
      </w:r>
      <w:r>
        <w:t xml:space="preserve">ng, hình thức tuyên truyền, phổ </w:t>
      </w:r>
      <w:r w:rsidR="00F44118" w:rsidRPr="00F44118">
        <w:t xml:space="preserve">biến phù hợp với </w:t>
      </w:r>
      <w:r>
        <w:t>đối tượng học sinh.</w:t>
      </w:r>
      <w:r w:rsidR="00DE04DB" w:rsidRPr="00DE04DB">
        <w:rPr>
          <w:szCs w:val="28"/>
        </w:rPr>
        <w:t xml:space="preserve"> </w:t>
      </w:r>
      <w:r w:rsidR="00DE04DB" w:rsidRPr="00FB04E8">
        <w:rPr>
          <w:szCs w:val="28"/>
        </w:rPr>
        <w:t>Đa dạng hóa các hình thức PBGDPL trong nội, ngoại khóa.</w:t>
      </w:r>
    </w:p>
    <w:p w:rsidR="00DE04DB" w:rsidRPr="00FB04E8" w:rsidRDefault="00DE04DB" w:rsidP="00B320A5">
      <w:pPr>
        <w:spacing w:before="120" w:after="120" w:line="288" w:lineRule="auto"/>
        <w:jc w:val="both"/>
        <w:rPr>
          <w:szCs w:val="28"/>
        </w:rPr>
      </w:pPr>
      <w:r>
        <w:rPr>
          <w:szCs w:val="28"/>
        </w:rPr>
        <w:tab/>
      </w:r>
      <w:r w:rsidRPr="00FB04E8">
        <w:rPr>
          <w:szCs w:val="28"/>
        </w:rPr>
        <w:t xml:space="preserve">Trong giáo dục nội khóa: Chú trọng chỉ đạo nâng cao chất lượng dạy và học kiến thức pháp luật phù hợp cấp học theo quy trình của Bộ GD&amp;ĐT; triển khai nghiêm túc tuần sinh hoạt </w:t>
      </w:r>
      <w:r>
        <w:rPr>
          <w:szCs w:val="28"/>
        </w:rPr>
        <w:t>tập thể</w:t>
      </w:r>
      <w:r w:rsidRPr="00FB04E8">
        <w:rPr>
          <w:szCs w:val="28"/>
        </w:rPr>
        <w:t xml:space="preserve"> với nội dung phù hợp thực tiễn trong năm học và tình hình thực tế của địa phương;</w:t>
      </w:r>
      <w:r>
        <w:rPr>
          <w:szCs w:val="28"/>
        </w:rPr>
        <w:t xml:space="preserve"> </w:t>
      </w:r>
      <w:r>
        <w:rPr>
          <w:iCs/>
          <w:szCs w:val="28"/>
        </w:rPr>
        <w:t xml:space="preserve">Tiếp tục nâng cao chất lượng giảng dạy và học tập môn Giáo dục công dân theo hướng cung cấp các kiến thức pháp luật, giáo dục đạo đức liêm chính, rèn luyện cho học sinh trung học các kỹ năng sống, học tập và </w:t>
      </w:r>
      <w:r>
        <w:rPr>
          <w:iCs/>
          <w:szCs w:val="28"/>
        </w:rPr>
        <w:lastRenderedPageBreak/>
        <w:t>làm theo pháp luật, hình thành thói quen và ý thức tôn trọng và tuân thủ pháp luật trong cuộc sống.</w:t>
      </w:r>
    </w:p>
    <w:p w:rsidR="00DE04DB" w:rsidRDefault="00DE04DB" w:rsidP="00B320A5">
      <w:pPr>
        <w:spacing w:before="120" w:after="120" w:line="288" w:lineRule="auto"/>
        <w:jc w:val="both"/>
        <w:rPr>
          <w:szCs w:val="28"/>
        </w:rPr>
      </w:pPr>
      <w:r>
        <w:rPr>
          <w:szCs w:val="28"/>
        </w:rPr>
        <w:tab/>
      </w:r>
      <w:r w:rsidRPr="00FB04E8">
        <w:rPr>
          <w:szCs w:val="28"/>
        </w:rPr>
        <w:t>Trong giáo dục ngoại khóa: tăng cường các hình thức PBGDPL hiệu quả như: tọa đàm theo chuyên đề, thi tìm hiểu pháp luật; lồng ghép nội dung pháp luật vào các hoạt động văn hóa, văn nghệ, thư viện…</w:t>
      </w:r>
    </w:p>
    <w:p w:rsidR="00DE04DB" w:rsidRDefault="00DE04DB" w:rsidP="00B320A5">
      <w:pPr>
        <w:spacing w:before="120" w:after="120" w:line="288" w:lineRule="auto"/>
        <w:ind w:firstLine="720"/>
        <w:jc w:val="both"/>
      </w:pPr>
      <w:r>
        <w:t>4</w:t>
      </w:r>
      <w:r w:rsidRPr="00F44118">
        <w:t>. Đổi mới phương pháp PBGDPL thông qua các môn học Giáo</w:t>
      </w:r>
      <w:r>
        <w:t xml:space="preserve"> </w:t>
      </w:r>
      <w:r w:rsidRPr="00F44118">
        <w:t>dục công dân, Giáo dục pháp luật, theo xu hướng tiên tiến, hiện đại, cập nhật</w:t>
      </w:r>
      <w:r>
        <w:t xml:space="preserve"> </w:t>
      </w:r>
      <w:r w:rsidRPr="00F44118">
        <w:t>kiến thức phù hợp, đa dạng hóa các hình t</w:t>
      </w:r>
      <w:r>
        <w:t xml:space="preserve">hức PBGDPL, tăng cường ứng dụng </w:t>
      </w:r>
      <w:r w:rsidRPr="00F44118">
        <w:t>công nghệ thông tin trong công tác PBGDPL gắn v</w:t>
      </w:r>
      <w:r>
        <w:t xml:space="preserve">ới triển khai có hiệu quả Đề án </w:t>
      </w:r>
      <w:r w:rsidRPr="00F44118">
        <w:t>“Tăng cường ứng dụng công nghệ thông tin trong công tác PBGDPL”</w:t>
      </w:r>
      <w:r>
        <w:t>.</w:t>
      </w:r>
    </w:p>
    <w:p w:rsidR="00B320A5" w:rsidRDefault="00F44118" w:rsidP="00B320A5">
      <w:pPr>
        <w:spacing w:before="120" w:after="120" w:line="288" w:lineRule="auto"/>
        <w:ind w:firstLine="720"/>
        <w:jc w:val="both"/>
      </w:pPr>
      <w:r w:rsidRPr="00F44118">
        <w:t>5. Tổ chức hưởng ứng Ngày pháp luật Việt Nam;</w:t>
      </w:r>
      <w:r w:rsidR="00DE04DB">
        <w:t xml:space="preserve"> </w:t>
      </w:r>
      <w:r w:rsidRPr="00F44118">
        <w:t xml:space="preserve"> nâng cao hiệu quả sử dụ</w:t>
      </w:r>
      <w:r w:rsidR="00DE04DB">
        <w:t>ng Tủ sách pháp luật khai thác tại thư viện nhà trường; tuyên truyền,</w:t>
      </w:r>
      <w:r w:rsidRPr="00F44118">
        <w:t xml:space="preserve"> PBGDPL trên</w:t>
      </w:r>
      <w:r w:rsidR="00B320A5">
        <w:t xml:space="preserve"> website, bản tin nội bộ của nhà trường.</w:t>
      </w:r>
    </w:p>
    <w:p w:rsidR="00F44118" w:rsidRPr="00F44118" w:rsidRDefault="00B320A5" w:rsidP="00B320A5">
      <w:pPr>
        <w:spacing w:before="120" w:after="120" w:line="288" w:lineRule="auto"/>
        <w:ind w:firstLine="720"/>
        <w:jc w:val="both"/>
      </w:pPr>
      <w:r>
        <w:t>6</w:t>
      </w:r>
      <w:r w:rsidR="00F44118" w:rsidRPr="00F44118">
        <w:t>. Hưởng ứng cuộc thi, hội thi</w:t>
      </w:r>
      <w:r>
        <w:t xml:space="preserve"> về pháp luật do Bộ Giáo dục và </w:t>
      </w:r>
      <w:r w:rsidR="00F44118" w:rsidRPr="00F44118">
        <w:t>Đào tào và UBND tỉnh</w:t>
      </w:r>
      <w:r>
        <w:t>, Sở GD&amp;ĐT, UBND thị xã, phòng GD&amp;ĐT</w:t>
      </w:r>
      <w:r w:rsidR="00F44118" w:rsidRPr="00F44118">
        <w:t xml:space="preserve"> phát động.</w:t>
      </w:r>
    </w:p>
    <w:p w:rsidR="00FB04E8" w:rsidRPr="00BA2996" w:rsidRDefault="00FB04E8" w:rsidP="00B320A5">
      <w:pPr>
        <w:spacing w:before="120" w:after="120" w:line="288" w:lineRule="auto"/>
        <w:ind w:firstLine="720"/>
        <w:jc w:val="left"/>
        <w:rPr>
          <w:b/>
          <w:szCs w:val="28"/>
        </w:rPr>
      </w:pPr>
      <w:r w:rsidRPr="00BA2996">
        <w:rPr>
          <w:b/>
          <w:szCs w:val="28"/>
        </w:rPr>
        <w:t>III. TỔ CHỨC THỰC HIỆN.</w:t>
      </w:r>
    </w:p>
    <w:p w:rsidR="00FB04E8" w:rsidRPr="00FB04E8" w:rsidRDefault="00BA2996" w:rsidP="00B320A5">
      <w:pPr>
        <w:spacing w:before="120" w:after="120" w:line="288" w:lineRule="auto"/>
        <w:jc w:val="both"/>
        <w:rPr>
          <w:szCs w:val="28"/>
        </w:rPr>
      </w:pPr>
      <w:r>
        <w:rPr>
          <w:szCs w:val="28"/>
        </w:rPr>
        <w:tab/>
      </w:r>
      <w:r w:rsidR="00FB04E8" w:rsidRPr="00FB04E8">
        <w:rPr>
          <w:szCs w:val="28"/>
        </w:rPr>
        <w:t>Xây dựng kế hoạch và triển khai kế hoạch phổ biến,</w:t>
      </w:r>
      <w:r w:rsidR="00AB4924">
        <w:rPr>
          <w:szCs w:val="28"/>
        </w:rPr>
        <w:t xml:space="preserve"> giáo dục pháp luật năm học 20</w:t>
      </w:r>
      <w:r w:rsidR="00B320A5">
        <w:rPr>
          <w:szCs w:val="28"/>
        </w:rPr>
        <w:t>21</w:t>
      </w:r>
      <w:r w:rsidR="00FB04E8" w:rsidRPr="00FB04E8">
        <w:rPr>
          <w:szCs w:val="28"/>
        </w:rPr>
        <w:t xml:space="preserve"> - 20</w:t>
      </w:r>
      <w:r w:rsidR="00B320A5">
        <w:rPr>
          <w:szCs w:val="28"/>
        </w:rPr>
        <w:t>22</w:t>
      </w:r>
      <w:r w:rsidR="00AB4924">
        <w:rPr>
          <w:szCs w:val="28"/>
        </w:rPr>
        <w:t xml:space="preserve"> tới toàn thể CBGV</w:t>
      </w:r>
      <w:r w:rsidR="00FB04E8" w:rsidRPr="00FB04E8">
        <w:rPr>
          <w:szCs w:val="28"/>
        </w:rPr>
        <w:t>NV</w:t>
      </w:r>
      <w:r w:rsidR="00AB4924">
        <w:rPr>
          <w:szCs w:val="28"/>
        </w:rPr>
        <w:t>-HS</w:t>
      </w:r>
      <w:r w:rsidR="00FB04E8" w:rsidRPr="00FB04E8">
        <w:rPr>
          <w:szCs w:val="28"/>
        </w:rPr>
        <w:t>. Gắn việc phổ biến, giáo dục pháp luật với thực hiện nhiệm vụ chính trị của nhà trường.</w:t>
      </w:r>
    </w:p>
    <w:p w:rsidR="00FB04E8" w:rsidRPr="00FB04E8" w:rsidRDefault="00BA2996" w:rsidP="00B320A5">
      <w:pPr>
        <w:spacing w:before="120" w:after="120" w:line="288" w:lineRule="auto"/>
        <w:jc w:val="both"/>
        <w:rPr>
          <w:szCs w:val="28"/>
        </w:rPr>
      </w:pPr>
      <w:r>
        <w:rPr>
          <w:szCs w:val="28"/>
        </w:rPr>
        <w:tab/>
      </w:r>
      <w:r w:rsidR="00FB04E8" w:rsidRPr="00FB04E8">
        <w:rPr>
          <w:szCs w:val="28"/>
        </w:rPr>
        <w:t>Bồi dưỡng kiến thức pháp luật, kỹ năng phổ biến, giáo dục pháp luật cho đội ngũ cán bộ quản lý, giáo viên, nhân viên...; Cử CBGV đi bồi dưỡng, tập huấn kiến thức, phương pháp phổ biến, giáo dục pháp luật khi có yêu cầu.</w:t>
      </w:r>
    </w:p>
    <w:p w:rsidR="00FB04E8" w:rsidRPr="00FB04E8" w:rsidRDefault="00BA2996" w:rsidP="00B320A5">
      <w:pPr>
        <w:spacing w:before="120" w:after="120" w:line="288" w:lineRule="auto"/>
        <w:jc w:val="both"/>
        <w:rPr>
          <w:szCs w:val="28"/>
        </w:rPr>
      </w:pPr>
      <w:r>
        <w:rPr>
          <w:szCs w:val="28"/>
        </w:rPr>
        <w:tab/>
      </w:r>
      <w:r w:rsidR="00FB04E8" w:rsidRPr="00FB04E8">
        <w:rPr>
          <w:szCs w:val="28"/>
        </w:rPr>
        <w:t>Khuyến khích CB,GV,</w:t>
      </w:r>
      <w:r>
        <w:rPr>
          <w:szCs w:val="28"/>
        </w:rPr>
        <w:t xml:space="preserve"> </w:t>
      </w:r>
      <w:r w:rsidR="00FB04E8" w:rsidRPr="00FB04E8">
        <w:rPr>
          <w:szCs w:val="28"/>
        </w:rPr>
        <w:t>NV đi sâu nghiên cứu khoa học viết SKKN về thực hiện đổi mới, nâng cao chất lượng công tác PBGDPL trong nhà trường.</w:t>
      </w:r>
    </w:p>
    <w:p w:rsidR="00FB04E8" w:rsidRPr="00FB04E8" w:rsidRDefault="00BA2996" w:rsidP="00B320A5">
      <w:pPr>
        <w:spacing w:before="120" w:after="120" w:line="288" w:lineRule="auto"/>
        <w:jc w:val="both"/>
        <w:rPr>
          <w:szCs w:val="28"/>
        </w:rPr>
      </w:pPr>
      <w:r>
        <w:rPr>
          <w:szCs w:val="28"/>
        </w:rPr>
        <w:tab/>
      </w:r>
      <w:r w:rsidR="00FB04E8" w:rsidRPr="00FB04E8">
        <w:rPr>
          <w:szCs w:val="28"/>
        </w:rPr>
        <w:t xml:space="preserve">Tiếp tục chỉ đạo dạy học lồng ghép giáo dục đạo đức, giáo dục pháp luật vào các hoạt động dạy học và các hoạt động ngoại khóa.             </w:t>
      </w:r>
    </w:p>
    <w:p w:rsidR="00FB04E8" w:rsidRPr="00FB04E8" w:rsidRDefault="00BA2996" w:rsidP="00B320A5">
      <w:pPr>
        <w:spacing w:before="120" w:after="120" w:line="288" w:lineRule="auto"/>
        <w:jc w:val="both"/>
        <w:rPr>
          <w:szCs w:val="28"/>
        </w:rPr>
      </w:pPr>
      <w:r>
        <w:rPr>
          <w:szCs w:val="28"/>
        </w:rPr>
        <w:tab/>
      </w:r>
      <w:r w:rsidR="00FB04E8" w:rsidRPr="00FB04E8">
        <w:rPr>
          <w:szCs w:val="28"/>
        </w:rPr>
        <w:t>Tiếp tục bổ sung, nâng cao chất lượng tủ sách pháp luật và các phương tiện, thiết bị, tài liệu, học liệu hỗ trợ công tác phổ biến, giáo dục pháp. Tăng cường xây dựng và hoàn thiện mục thông tin phổ biến, giáo dục pháp luật trên Website Trường.</w:t>
      </w:r>
    </w:p>
    <w:p w:rsidR="00FB04E8" w:rsidRPr="00FB04E8" w:rsidRDefault="00BA2996" w:rsidP="00B320A5">
      <w:pPr>
        <w:spacing w:before="120" w:after="120" w:line="288" w:lineRule="auto"/>
        <w:jc w:val="both"/>
        <w:rPr>
          <w:szCs w:val="28"/>
        </w:rPr>
      </w:pPr>
      <w:r>
        <w:rPr>
          <w:szCs w:val="28"/>
        </w:rPr>
        <w:tab/>
      </w:r>
      <w:r w:rsidR="00FB04E8" w:rsidRPr="00FB04E8">
        <w:rPr>
          <w:szCs w:val="28"/>
        </w:rPr>
        <w:t xml:space="preserve">Phát động phong trào sưu tầm hình ảnh, tư liệu phục vụ công tác phổ biến, giáo dục pháp luật trong chương trình giảng dạy của giáo viên. Tiếp tục bổ sung, </w:t>
      </w:r>
      <w:r w:rsidR="00FB04E8" w:rsidRPr="00FB04E8">
        <w:rPr>
          <w:szCs w:val="28"/>
        </w:rPr>
        <w:lastRenderedPageBreak/>
        <w:t>nâng cao chất lượng tủ sách pháp luật và các phương tiện, thiết bị hỗ trợ cho việc giáo dục pháp luật trong các hoạt đông giảng dạy của giáo viên.</w:t>
      </w:r>
    </w:p>
    <w:p w:rsidR="00FB04E8" w:rsidRPr="00FB04E8" w:rsidRDefault="00BA2996" w:rsidP="00B320A5">
      <w:pPr>
        <w:spacing w:before="120" w:after="120" w:line="288" w:lineRule="auto"/>
        <w:jc w:val="both"/>
        <w:rPr>
          <w:szCs w:val="28"/>
        </w:rPr>
      </w:pPr>
      <w:r>
        <w:rPr>
          <w:szCs w:val="28"/>
        </w:rPr>
        <w:tab/>
      </w:r>
      <w:r w:rsidR="00FB04E8" w:rsidRPr="00FB04E8">
        <w:rPr>
          <w:szCs w:val="28"/>
        </w:rPr>
        <w:t>Tổ chức các chuyên đề về nội dung GDPL cho giáo viên toàn trường về dự và học tập.</w:t>
      </w:r>
    </w:p>
    <w:p w:rsidR="00FB04E8" w:rsidRPr="00FB04E8" w:rsidRDefault="00BA2996" w:rsidP="00B320A5">
      <w:pPr>
        <w:spacing w:before="120" w:after="120" w:line="288" w:lineRule="auto"/>
        <w:jc w:val="both"/>
        <w:rPr>
          <w:szCs w:val="28"/>
        </w:rPr>
      </w:pPr>
      <w:r>
        <w:rPr>
          <w:szCs w:val="28"/>
        </w:rPr>
        <w:tab/>
      </w:r>
      <w:r w:rsidR="00FB04E8" w:rsidRPr="00FB04E8">
        <w:rPr>
          <w:szCs w:val="28"/>
        </w:rPr>
        <w:t xml:space="preserve">Tổ chức </w:t>
      </w:r>
      <w:r>
        <w:rPr>
          <w:szCs w:val="28"/>
        </w:rPr>
        <w:t>tuyên truyền</w:t>
      </w:r>
      <w:r w:rsidR="00FB04E8" w:rsidRPr="00FB04E8">
        <w:rPr>
          <w:szCs w:val="28"/>
        </w:rPr>
        <w:t xml:space="preserve"> về công tác phổ biến, giáo dục pháp luật của đơn vị mình lồng ghép </w:t>
      </w:r>
      <w:r>
        <w:rPr>
          <w:szCs w:val="28"/>
        </w:rPr>
        <w:t>trong các cuộc họp, các buổi sinh hoạt ngoại khóa nhà trường</w:t>
      </w:r>
      <w:r w:rsidR="00AB4924">
        <w:rPr>
          <w:szCs w:val="28"/>
        </w:rPr>
        <w:t>, tuyên truyền dưới cờ, tiết sinh hoạt lớp, tuần sinh hoạt công dân..</w:t>
      </w:r>
      <w:r w:rsidR="00FB04E8" w:rsidRPr="00FB04E8">
        <w:rPr>
          <w:szCs w:val="28"/>
        </w:rPr>
        <w:t>.</w:t>
      </w:r>
    </w:p>
    <w:p w:rsidR="00FB04E8" w:rsidRPr="00FB04E8" w:rsidRDefault="00BA2996" w:rsidP="00B320A5">
      <w:pPr>
        <w:spacing w:before="120" w:after="120" w:line="288" w:lineRule="auto"/>
        <w:jc w:val="both"/>
        <w:rPr>
          <w:szCs w:val="28"/>
        </w:rPr>
      </w:pPr>
      <w:r>
        <w:rPr>
          <w:szCs w:val="28"/>
        </w:rPr>
        <w:tab/>
      </w:r>
      <w:r w:rsidR="00FB04E8" w:rsidRPr="00FB04E8">
        <w:rPr>
          <w:szCs w:val="28"/>
        </w:rPr>
        <w:t>Xây dựng kế hoạch của đơn vị và báo cáo về phòng GD&amp;ĐT; Tổ chức thực hiện và sơ kết, tổng kết theo quy định và báo cáo về Phòng GD</w:t>
      </w:r>
      <w:r>
        <w:rPr>
          <w:szCs w:val="28"/>
        </w:rPr>
        <w:t>ĐT.</w:t>
      </w:r>
    </w:p>
    <w:p w:rsidR="00FB04E8" w:rsidRPr="00FB04E8" w:rsidRDefault="00BA2996" w:rsidP="00B320A5">
      <w:pPr>
        <w:spacing w:before="120" w:after="120" w:line="288" w:lineRule="auto"/>
        <w:jc w:val="both"/>
        <w:rPr>
          <w:szCs w:val="28"/>
        </w:rPr>
      </w:pPr>
      <w:r>
        <w:rPr>
          <w:szCs w:val="28"/>
        </w:rPr>
        <w:tab/>
      </w:r>
      <w:r w:rsidR="00FB04E8" w:rsidRPr="00FB04E8">
        <w:rPr>
          <w:szCs w:val="28"/>
        </w:rPr>
        <w:t>Trên đây là kế hoạch công tác phổ biến GD pháp luật năm 20</w:t>
      </w:r>
      <w:r w:rsidR="00B320A5">
        <w:rPr>
          <w:szCs w:val="28"/>
        </w:rPr>
        <w:t>22</w:t>
      </w:r>
      <w:r w:rsidR="00FB04E8" w:rsidRPr="00FB04E8">
        <w:rPr>
          <w:szCs w:val="28"/>
        </w:rPr>
        <w:t xml:space="preserve">, </w:t>
      </w:r>
      <w:r w:rsidR="00B320A5">
        <w:rPr>
          <w:szCs w:val="28"/>
        </w:rPr>
        <w:t>n</w:t>
      </w:r>
      <w:r w:rsidR="00FB04E8" w:rsidRPr="00FB04E8">
        <w:rPr>
          <w:szCs w:val="28"/>
        </w:rPr>
        <w:t>hà trường yêu cầu các bộ phận và các tổ chức đoàn thể trong nhà trường cần bám sát kế hoạch này để tổ chức triển khai và thực hiện có hiệu quả./.</w:t>
      </w:r>
    </w:p>
    <w:p w:rsidR="00FB04E8" w:rsidRPr="00FB04E8" w:rsidRDefault="00FB04E8" w:rsidP="00FB04E8">
      <w:pPr>
        <w:jc w:val="left"/>
        <w:rPr>
          <w:szCs w:val="28"/>
        </w:rPr>
      </w:pPr>
      <w:r w:rsidRPr="00FB04E8">
        <w:rPr>
          <w:szCs w:val="28"/>
        </w:rPr>
        <w:t> </w:t>
      </w:r>
    </w:p>
    <w:tbl>
      <w:tblPr>
        <w:tblW w:w="9540" w:type="dxa"/>
        <w:tblCellSpacing w:w="0" w:type="dxa"/>
        <w:tblCellMar>
          <w:left w:w="0" w:type="dxa"/>
          <w:right w:w="0" w:type="dxa"/>
        </w:tblCellMar>
        <w:tblLook w:val="04A0" w:firstRow="1" w:lastRow="0" w:firstColumn="1" w:lastColumn="0" w:noHBand="0" w:noVBand="1"/>
      </w:tblPr>
      <w:tblGrid>
        <w:gridCol w:w="3884"/>
        <w:gridCol w:w="5656"/>
      </w:tblGrid>
      <w:tr w:rsidR="00FB04E8" w:rsidRPr="00FB04E8" w:rsidTr="00312782">
        <w:trPr>
          <w:trHeight w:val="2250"/>
          <w:tblCellSpacing w:w="0" w:type="dxa"/>
        </w:trPr>
        <w:tc>
          <w:tcPr>
            <w:tcW w:w="3884" w:type="dxa"/>
            <w:tcMar>
              <w:top w:w="0" w:type="dxa"/>
              <w:left w:w="108" w:type="dxa"/>
              <w:bottom w:w="0" w:type="dxa"/>
              <w:right w:w="108" w:type="dxa"/>
            </w:tcMar>
            <w:hideMark/>
          </w:tcPr>
          <w:p w:rsidR="00FB04E8" w:rsidRPr="00FB04E8" w:rsidRDefault="00FB04E8" w:rsidP="00FB04E8">
            <w:pPr>
              <w:jc w:val="left"/>
              <w:rPr>
                <w:szCs w:val="28"/>
              </w:rPr>
            </w:pPr>
            <w:r w:rsidRPr="00BA2996">
              <w:rPr>
                <w:b/>
                <w:sz w:val="26"/>
                <w:szCs w:val="28"/>
              </w:rPr>
              <w:t>Nơi nhận</w:t>
            </w:r>
            <w:r w:rsidRPr="00BA2996">
              <w:rPr>
                <w:sz w:val="26"/>
                <w:szCs w:val="28"/>
              </w:rPr>
              <w:t>:</w:t>
            </w:r>
          </w:p>
          <w:p w:rsidR="00FB04E8" w:rsidRPr="00BA2996" w:rsidRDefault="00FB04E8" w:rsidP="00AB4924">
            <w:pPr>
              <w:spacing w:after="0"/>
              <w:jc w:val="left"/>
              <w:rPr>
                <w:sz w:val="22"/>
                <w:szCs w:val="22"/>
              </w:rPr>
            </w:pPr>
            <w:r w:rsidRPr="00FB04E8">
              <w:rPr>
                <w:szCs w:val="28"/>
              </w:rPr>
              <w:t xml:space="preserve">- </w:t>
            </w:r>
            <w:r w:rsidRPr="00BA2996">
              <w:rPr>
                <w:sz w:val="22"/>
                <w:szCs w:val="22"/>
              </w:rPr>
              <w:t xml:space="preserve">Phòng GDĐT </w:t>
            </w:r>
            <w:r w:rsidR="00BA2996">
              <w:rPr>
                <w:sz w:val="22"/>
                <w:szCs w:val="22"/>
              </w:rPr>
              <w:t>T.x Buôn Hồ</w:t>
            </w:r>
            <w:r w:rsidRPr="00BA2996">
              <w:rPr>
                <w:sz w:val="22"/>
                <w:szCs w:val="22"/>
              </w:rPr>
              <w:t xml:space="preserve"> (để b/c);</w:t>
            </w:r>
          </w:p>
          <w:p w:rsidR="00FB04E8" w:rsidRPr="00BA2996" w:rsidRDefault="00FB04E8" w:rsidP="00AB4924">
            <w:pPr>
              <w:spacing w:after="0"/>
              <w:jc w:val="left"/>
              <w:rPr>
                <w:sz w:val="22"/>
                <w:szCs w:val="22"/>
              </w:rPr>
            </w:pPr>
            <w:r w:rsidRPr="00BA2996">
              <w:rPr>
                <w:sz w:val="22"/>
                <w:szCs w:val="22"/>
              </w:rPr>
              <w:t xml:space="preserve">- Trường THCS </w:t>
            </w:r>
            <w:r w:rsidR="00BA2996">
              <w:rPr>
                <w:sz w:val="22"/>
                <w:szCs w:val="22"/>
              </w:rPr>
              <w:t>Ngô Quyền</w:t>
            </w:r>
            <w:r w:rsidRPr="00BA2996">
              <w:rPr>
                <w:sz w:val="22"/>
                <w:szCs w:val="22"/>
              </w:rPr>
              <w:t xml:space="preserve"> (để t/h);</w:t>
            </w:r>
          </w:p>
          <w:p w:rsidR="00FB04E8" w:rsidRPr="00FB04E8" w:rsidRDefault="00FB04E8" w:rsidP="00AB4924">
            <w:pPr>
              <w:spacing w:after="0"/>
              <w:jc w:val="left"/>
              <w:rPr>
                <w:szCs w:val="28"/>
              </w:rPr>
            </w:pPr>
            <w:r w:rsidRPr="00BA2996">
              <w:rPr>
                <w:sz w:val="22"/>
                <w:szCs w:val="22"/>
              </w:rPr>
              <w:t>- Lưu VT./.</w:t>
            </w:r>
          </w:p>
        </w:tc>
        <w:tc>
          <w:tcPr>
            <w:tcW w:w="5656" w:type="dxa"/>
            <w:tcMar>
              <w:top w:w="0" w:type="dxa"/>
              <w:left w:w="108" w:type="dxa"/>
              <w:bottom w:w="0" w:type="dxa"/>
              <w:right w:w="108" w:type="dxa"/>
            </w:tcMar>
            <w:hideMark/>
          </w:tcPr>
          <w:p w:rsidR="00FB04E8" w:rsidRPr="00BA2996" w:rsidRDefault="00FB04E8" w:rsidP="00BA2996">
            <w:pPr>
              <w:rPr>
                <w:b/>
                <w:szCs w:val="28"/>
              </w:rPr>
            </w:pPr>
            <w:r w:rsidRPr="00BA2996">
              <w:rPr>
                <w:b/>
                <w:szCs w:val="28"/>
              </w:rPr>
              <w:t>HIỆU TRƯỞNG</w:t>
            </w:r>
          </w:p>
          <w:p w:rsidR="00FB04E8" w:rsidRPr="00FB04E8" w:rsidRDefault="00FB04E8" w:rsidP="00FB04E8">
            <w:pPr>
              <w:jc w:val="left"/>
              <w:rPr>
                <w:szCs w:val="28"/>
              </w:rPr>
            </w:pPr>
            <w:r w:rsidRPr="00FB04E8">
              <w:rPr>
                <w:szCs w:val="28"/>
              </w:rPr>
              <w:t> </w:t>
            </w:r>
          </w:p>
          <w:p w:rsidR="00FB04E8" w:rsidRPr="00FB04E8" w:rsidRDefault="00FB04E8" w:rsidP="00FB04E8">
            <w:pPr>
              <w:jc w:val="left"/>
              <w:rPr>
                <w:szCs w:val="28"/>
              </w:rPr>
            </w:pPr>
            <w:r w:rsidRPr="00FB04E8">
              <w:rPr>
                <w:szCs w:val="28"/>
              </w:rPr>
              <w:t> </w:t>
            </w:r>
          </w:p>
          <w:p w:rsidR="00FB04E8" w:rsidRPr="00FF2AA5" w:rsidRDefault="00BA2996" w:rsidP="00BA2996">
            <w:pPr>
              <w:rPr>
                <w:b/>
                <w:szCs w:val="28"/>
              </w:rPr>
            </w:pPr>
            <w:r w:rsidRPr="00FF2AA5">
              <w:rPr>
                <w:b/>
                <w:szCs w:val="28"/>
              </w:rPr>
              <w:t>Nguyễn Tá Hùng</w:t>
            </w:r>
          </w:p>
        </w:tc>
      </w:tr>
    </w:tbl>
    <w:p w:rsidR="002F322C" w:rsidRPr="00FB04E8" w:rsidRDefault="002F322C" w:rsidP="00FB04E8">
      <w:pPr>
        <w:jc w:val="left"/>
        <w:rPr>
          <w:szCs w:val="28"/>
        </w:rPr>
      </w:pPr>
    </w:p>
    <w:sectPr w:rsidR="002F322C" w:rsidRPr="00FB04E8" w:rsidSect="00045346">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69" w:rsidRDefault="006D0C69" w:rsidP="00EB1C5C">
      <w:pPr>
        <w:spacing w:after="0"/>
      </w:pPr>
      <w:r>
        <w:separator/>
      </w:r>
    </w:p>
  </w:endnote>
  <w:endnote w:type="continuationSeparator" w:id="0">
    <w:p w:rsidR="006D0C69" w:rsidRDefault="006D0C69" w:rsidP="00EB1C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49322"/>
      <w:docPartObj>
        <w:docPartGallery w:val="Page Numbers (Bottom of Page)"/>
        <w:docPartUnique/>
      </w:docPartObj>
    </w:sdtPr>
    <w:sdtEndPr>
      <w:rPr>
        <w:noProof/>
      </w:rPr>
    </w:sdtEndPr>
    <w:sdtContent>
      <w:p w:rsidR="00EB1C5C" w:rsidRDefault="00EB1C5C">
        <w:pPr>
          <w:pStyle w:val="Footer"/>
        </w:pPr>
        <w:r>
          <w:fldChar w:fldCharType="begin"/>
        </w:r>
        <w:r>
          <w:instrText xml:space="preserve"> PAGE   \* MERGEFORMAT </w:instrText>
        </w:r>
        <w:r>
          <w:fldChar w:fldCharType="separate"/>
        </w:r>
        <w:r w:rsidR="00844E1D">
          <w:rPr>
            <w:noProof/>
          </w:rPr>
          <w:t>1</w:t>
        </w:r>
        <w:r>
          <w:rPr>
            <w:noProof/>
          </w:rPr>
          <w:fldChar w:fldCharType="end"/>
        </w:r>
      </w:p>
    </w:sdtContent>
  </w:sdt>
  <w:p w:rsidR="00EB1C5C" w:rsidRDefault="00EB1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69" w:rsidRDefault="006D0C69" w:rsidP="00EB1C5C">
      <w:pPr>
        <w:spacing w:after="0"/>
      </w:pPr>
      <w:r>
        <w:separator/>
      </w:r>
    </w:p>
  </w:footnote>
  <w:footnote w:type="continuationSeparator" w:id="0">
    <w:p w:rsidR="006D0C69" w:rsidRDefault="006D0C69" w:rsidP="00EB1C5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E8"/>
    <w:rsid w:val="00045346"/>
    <w:rsid w:val="00064531"/>
    <w:rsid w:val="000A7795"/>
    <w:rsid w:val="000D5404"/>
    <w:rsid w:val="000D6463"/>
    <w:rsid w:val="00176E2D"/>
    <w:rsid w:val="00262AD7"/>
    <w:rsid w:val="002F322C"/>
    <w:rsid w:val="002F32F4"/>
    <w:rsid w:val="00301184"/>
    <w:rsid w:val="00312782"/>
    <w:rsid w:val="0033038F"/>
    <w:rsid w:val="003A5A3C"/>
    <w:rsid w:val="00401A06"/>
    <w:rsid w:val="00417FD7"/>
    <w:rsid w:val="00425A4C"/>
    <w:rsid w:val="00464829"/>
    <w:rsid w:val="004D1114"/>
    <w:rsid w:val="004F4A23"/>
    <w:rsid w:val="00505039"/>
    <w:rsid w:val="0068782E"/>
    <w:rsid w:val="006D0C69"/>
    <w:rsid w:val="00715B92"/>
    <w:rsid w:val="00745FB5"/>
    <w:rsid w:val="007D18C7"/>
    <w:rsid w:val="00812A17"/>
    <w:rsid w:val="00831DF4"/>
    <w:rsid w:val="00844E1D"/>
    <w:rsid w:val="008D399C"/>
    <w:rsid w:val="00916603"/>
    <w:rsid w:val="00994909"/>
    <w:rsid w:val="009E755F"/>
    <w:rsid w:val="00AB4924"/>
    <w:rsid w:val="00AD0524"/>
    <w:rsid w:val="00B00B9B"/>
    <w:rsid w:val="00B1480F"/>
    <w:rsid w:val="00B15027"/>
    <w:rsid w:val="00B320A5"/>
    <w:rsid w:val="00BA2996"/>
    <w:rsid w:val="00C038E4"/>
    <w:rsid w:val="00C40E2E"/>
    <w:rsid w:val="00C773E7"/>
    <w:rsid w:val="00D656D8"/>
    <w:rsid w:val="00DA0727"/>
    <w:rsid w:val="00DE04DB"/>
    <w:rsid w:val="00DE0F73"/>
    <w:rsid w:val="00E133FB"/>
    <w:rsid w:val="00E85285"/>
    <w:rsid w:val="00EB1C5C"/>
    <w:rsid w:val="00EF517E"/>
    <w:rsid w:val="00F44118"/>
    <w:rsid w:val="00F66674"/>
    <w:rsid w:val="00FB04E8"/>
    <w:rsid w:val="00FE5E35"/>
    <w:rsid w:val="00FF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03"/>
  </w:style>
  <w:style w:type="paragraph" w:styleId="Heading2">
    <w:name w:val="heading 2"/>
    <w:aliases w:val="Heading 2 Char Char"/>
    <w:basedOn w:val="Normal"/>
    <w:next w:val="Normal"/>
    <w:link w:val="Heading2Char"/>
    <w:qFormat/>
    <w:rsid w:val="00F66674"/>
    <w:pPr>
      <w:keepNext/>
      <w:spacing w:after="0"/>
      <w:jc w:val="both"/>
      <w:outlineLvl w:val="1"/>
    </w:pPr>
    <w:rPr>
      <w:rFonts w:ascii=".VnTime" w:hAnsi=".VnTime" w:cs="Angsana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4E8"/>
    <w:pPr>
      <w:spacing w:before="100" w:beforeAutospacing="1" w:after="100" w:afterAutospacing="1"/>
      <w:jc w:val="left"/>
    </w:pPr>
    <w:rPr>
      <w:sz w:val="24"/>
      <w:szCs w:val="24"/>
    </w:rPr>
  </w:style>
  <w:style w:type="character" w:styleId="Strong">
    <w:name w:val="Strong"/>
    <w:basedOn w:val="DefaultParagraphFont"/>
    <w:uiPriority w:val="22"/>
    <w:qFormat/>
    <w:rsid w:val="00FB04E8"/>
    <w:rPr>
      <w:b/>
      <w:bCs/>
    </w:rPr>
  </w:style>
  <w:style w:type="character" w:styleId="Emphasis">
    <w:name w:val="Emphasis"/>
    <w:basedOn w:val="DefaultParagraphFont"/>
    <w:uiPriority w:val="20"/>
    <w:qFormat/>
    <w:rsid w:val="00FB04E8"/>
    <w:rPr>
      <w:i/>
      <w:iCs/>
    </w:rPr>
  </w:style>
  <w:style w:type="character" w:customStyle="1" w:styleId="Heading2Char">
    <w:name w:val="Heading 2 Char"/>
    <w:aliases w:val="Heading 2 Char Char Char"/>
    <w:basedOn w:val="DefaultParagraphFont"/>
    <w:link w:val="Heading2"/>
    <w:rsid w:val="00F66674"/>
    <w:rPr>
      <w:rFonts w:ascii=".VnTime" w:hAnsi=".VnTime" w:cs="Angsana New"/>
      <w:szCs w:val="24"/>
    </w:rPr>
  </w:style>
  <w:style w:type="character" w:customStyle="1" w:styleId="apple-converted-space">
    <w:name w:val="apple-converted-space"/>
    <w:basedOn w:val="DefaultParagraphFont"/>
    <w:rsid w:val="00E133FB"/>
  </w:style>
  <w:style w:type="paragraph" w:styleId="Header">
    <w:name w:val="header"/>
    <w:basedOn w:val="Normal"/>
    <w:link w:val="HeaderChar"/>
    <w:uiPriority w:val="99"/>
    <w:unhideWhenUsed/>
    <w:rsid w:val="00EB1C5C"/>
    <w:pPr>
      <w:tabs>
        <w:tab w:val="center" w:pos="4680"/>
        <w:tab w:val="right" w:pos="9360"/>
      </w:tabs>
      <w:spacing w:after="0"/>
    </w:pPr>
  </w:style>
  <w:style w:type="character" w:customStyle="1" w:styleId="HeaderChar">
    <w:name w:val="Header Char"/>
    <w:basedOn w:val="DefaultParagraphFont"/>
    <w:link w:val="Header"/>
    <w:uiPriority w:val="99"/>
    <w:rsid w:val="00EB1C5C"/>
  </w:style>
  <w:style w:type="paragraph" w:styleId="Footer">
    <w:name w:val="footer"/>
    <w:basedOn w:val="Normal"/>
    <w:link w:val="FooterChar"/>
    <w:uiPriority w:val="99"/>
    <w:unhideWhenUsed/>
    <w:rsid w:val="00EB1C5C"/>
    <w:pPr>
      <w:tabs>
        <w:tab w:val="center" w:pos="4680"/>
        <w:tab w:val="right" w:pos="9360"/>
      </w:tabs>
      <w:spacing w:after="0"/>
    </w:pPr>
  </w:style>
  <w:style w:type="character" w:customStyle="1" w:styleId="FooterChar">
    <w:name w:val="Footer Char"/>
    <w:basedOn w:val="DefaultParagraphFont"/>
    <w:link w:val="Footer"/>
    <w:uiPriority w:val="99"/>
    <w:rsid w:val="00EB1C5C"/>
  </w:style>
  <w:style w:type="paragraph" w:styleId="BalloonText">
    <w:name w:val="Balloon Text"/>
    <w:basedOn w:val="Normal"/>
    <w:link w:val="BalloonTextChar"/>
    <w:uiPriority w:val="99"/>
    <w:semiHidden/>
    <w:unhideWhenUsed/>
    <w:rsid w:val="00812A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17"/>
    <w:rPr>
      <w:rFonts w:ascii="Tahoma" w:hAnsi="Tahoma" w:cs="Tahoma"/>
      <w:sz w:val="16"/>
      <w:szCs w:val="16"/>
    </w:rPr>
  </w:style>
  <w:style w:type="character" w:customStyle="1" w:styleId="fontstyle01">
    <w:name w:val="fontstyle01"/>
    <w:basedOn w:val="DefaultParagraphFont"/>
    <w:rsid w:val="007D18C7"/>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03"/>
  </w:style>
  <w:style w:type="paragraph" w:styleId="Heading2">
    <w:name w:val="heading 2"/>
    <w:aliases w:val="Heading 2 Char Char"/>
    <w:basedOn w:val="Normal"/>
    <w:next w:val="Normal"/>
    <w:link w:val="Heading2Char"/>
    <w:qFormat/>
    <w:rsid w:val="00F66674"/>
    <w:pPr>
      <w:keepNext/>
      <w:spacing w:after="0"/>
      <w:jc w:val="both"/>
      <w:outlineLvl w:val="1"/>
    </w:pPr>
    <w:rPr>
      <w:rFonts w:ascii=".VnTime" w:hAnsi=".VnTime" w:cs="Angsana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4E8"/>
    <w:pPr>
      <w:spacing w:before="100" w:beforeAutospacing="1" w:after="100" w:afterAutospacing="1"/>
      <w:jc w:val="left"/>
    </w:pPr>
    <w:rPr>
      <w:sz w:val="24"/>
      <w:szCs w:val="24"/>
    </w:rPr>
  </w:style>
  <w:style w:type="character" w:styleId="Strong">
    <w:name w:val="Strong"/>
    <w:basedOn w:val="DefaultParagraphFont"/>
    <w:uiPriority w:val="22"/>
    <w:qFormat/>
    <w:rsid w:val="00FB04E8"/>
    <w:rPr>
      <w:b/>
      <w:bCs/>
    </w:rPr>
  </w:style>
  <w:style w:type="character" w:styleId="Emphasis">
    <w:name w:val="Emphasis"/>
    <w:basedOn w:val="DefaultParagraphFont"/>
    <w:uiPriority w:val="20"/>
    <w:qFormat/>
    <w:rsid w:val="00FB04E8"/>
    <w:rPr>
      <w:i/>
      <w:iCs/>
    </w:rPr>
  </w:style>
  <w:style w:type="character" w:customStyle="1" w:styleId="Heading2Char">
    <w:name w:val="Heading 2 Char"/>
    <w:aliases w:val="Heading 2 Char Char Char"/>
    <w:basedOn w:val="DefaultParagraphFont"/>
    <w:link w:val="Heading2"/>
    <w:rsid w:val="00F66674"/>
    <w:rPr>
      <w:rFonts w:ascii=".VnTime" w:hAnsi=".VnTime" w:cs="Angsana New"/>
      <w:szCs w:val="24"/>
    </w:rPr>
  </w:style>
  <w:style w:type="character" w:customStyle="1" w:styleId="apple-converted-space">
    <w:name w:val="apple-converted-space"/>
    <w:basedOn w:val="DefaultParagraphFont"/>
    <w:rsid w:val="00E133FB"/>
  </w:style>
  <w:style w:type="paragraph" w:styleId="Header">
    <w:name w:val="header"/>
    <w:basedOn w:val="Normal"/>
    <w:link w:val="HeaderChar"/>
    <w:uiPriority w:val="99"/>
    <w:unhideWhenUsed/>
    <w:rsid w:val="00EB1C5C"/>
    <w:pPr>
      <w:tabs>
        <w:tab w:val="center" w:pos="4680"/>
        <w:tab w:val="right" w:pos="9360"/>
      </w:tabs>
      <w:spacing w:after="0"/>
    </w:pPr>
  </w:style>
  <w:style w:type="character" w:customStyle="1" w:styleId="HeaderChar">
    <w:name w:val="Header Char"/>
    <w:basedOn w:val="DefaultParagraphFont"/>
    <w:link w:val="Header"/>
    <w:uiPriority w:val="99"/>
    <w:rsid w:val="00EB1C5C"/>
  </w:style>
  <w:style w:type="paragraph" w:styleId="Footer">
    <w:name w:val="footer"/>
    <w:basedOn w:val="Normal"/>
    <w:link w:val="FooterChar"/>
    <w:uiPriority w:val="99"/>
    <w:unhideWhenUsed/>
    <w:rsid w:val="00EB1C5C"/>
    <w:pPr>
      <w:tabs>
        <w:tab w:val="center" w:pos="4680"/>
        <w:tab w:val="right" w:pos="9360"/>
      </w:tabs>
      <w:spacing w:after="0"/>
    </w:pPr>
  </w:style>
  <w:style w:type="character" w:customStyle="1" w:styleId="FooterChar">
    <w:name w:val="Footer Char"/>
    <w:basedOn w:val="DefaultParagraphFont"/>
    <w:link w:val="Footer"/>
    <w:uiPriority w:val="99"/>
    <w:rsid w:val="00EB1C5C"/>
  </w:style>
  <w:style w:type="paragraph" w:styleId="BalloonText">
    <w:name w:val="Balloon Text"/>
    <w:basedOn w:val="Normal"/>
    <w:link w:val="BalloonTextChar"/>
    <w:uiPriority w:val="99"/>
    <w:semiHidden/>
    <w:unhideWhenUsed/>
    <w:rsid w:val="00812A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17"/>
    <w:rPr>
      <w:rFonts w:ascii="Tahoma" w:hAnsi="Tahoma" w:cs="Tahoma"/>
      <w:sz w:val="16"/>
      <w:szCs w:val="16"/>
    </w:rPr>
  </w:style>
  <w:style w:type="character" w:customStyle="1" w:styleId="fontstyle01">
    <w:name w:val="fontstyle01"/>
    <w:basedOn w:val="DefaultParagraphFont"/>
    <w:rsid w:val="007D18C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A</cp:lastModifiedBy>
  <cp:revision>14</cp:revision>
  <cp:lastPrinted>2022-05-14T08:03:00Z</cp:lastPrinted>
  <dcterms:created xsi:type="dcterms:W3CDTF">2022-05-14T06:48:00Z</dcterms:created>
  <dcterms:modified xsi:type="dcterms:W3CDTF">2022-05-14T08:06:00Z</dcterms:modified>
</cp:coreProperties>
</file>